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E6" w:rsidRDefault="00EF0FB2" w:rsidP="00255976">
      <w:r w:rsidRPr="00EF0FB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B2B429" wp14:editId="16B667FB">
            <wp:simplePos x="0" y="0"/>
            <wp:positionH relativeFrom="margin">
              <wp:align>left</wp:align>
            </wp:positionH>
            <wp:positionV relativeFrom="margin">
              <wp:posOffset>-451398</wp:posOffset>
            </wp:positionV>
            <wp:extent cx="536575" cy="536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nity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0FB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F71D2D4" wp14:editId="5CB1F78A">
            <wp:simplePos x="0" y="0"/>
            <wp:positionH relativeFrom="margin">
              <wp:align>right</wp:align>
            </wp:positionH>
            <wp:positionV relativeFrom="paragraph">
              <wp:posOffset>-450610</wp:posOffset>
            </wp:positionV>
            <wp:extent cx="902335" cy="4419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qas-logo-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9E6" w:rsidRPr="00F359E6" w:rsidRDefault="00F359E6" w:rsidP="00255976">
      <w:r>
        <w:rPr>
          <w:b/>
        </w:rPr>
        <w:t xml:space="preserve">Media Context: </w:t>
      </w:r>
      <w:r w:rsidRPr="00F359E6">
        <w:rPr>
          <w:i/>
          <w:sz w:val="20"/>
        </w:rPr>
        <w:t>Draw summative illustrations in the right side of the tables that relate to the contextual knowledge on the left.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255976" w:rsidTr="002D119C">
        <w:tc>
          <w:tcPr>
            <w:tcW w:w="4390" w:type="dxa"/>
          </w:tcPr>
          <w:p w:rsidR="00255976" w:rsidRPr="00E73313" w:rsidRDefault="00E73313" w:rsidP="00E73313">
            <w:pPr>
              <w:rPr>
                <w:sz w:val="20"/>
                <w:szCs w:val="20"/>
              </w:rPr>
            </w:pPr>
            <w:bookmarkStart w:id="0" w:name="_GoBack"/>
            <w:r w:rsidRPr="00E73313">
              <w:rPr>
                <w:sz w:val="20"/>
                <w:szCs w:val="20"/>
              </w:rPr>
              <w:t xml:space="preserve">Launched in 1931, GQ began its life as a quarterly publication called Gentleman’s Quarterly, aimed specifically at fashion industry insiders. Its popularity with customers caused its rebranding in 1967 to GQ. </w:t>
            </w:r>
            <w:bookmarkEnd w:id="0"/>
          </w:p>
        </w:tc>
        <w:tc>
          <w:tcPr>
            <w:tcW w:w="6066" w:type="dxa"/>
          </w:tcPr>
          <w:p w:rsidR="00255976" w:rsidRDefault="00255976" w:rsidP="002D119C"/>
          <w:p w:rsidR="00255976" w:rsidRDefault="00255976" w:rsidP="002D119C"/>
          <w:p w:rsidR="00255976" w:rsidRDefault="00255976" w:rsidP="002D119C"/>
          <w:p w:rsidR="00255976" w:rsidRDefault="00255976" w:rsidP="002D119C"/>
          <w:p w:rsidR="00255976" w:rsidRDefault="00255976" w:rsidP="002D119C"/>
          <w:p w:rsidR="00235842" w:rsidRDefault="00235842" w:rsidP="002D119C"/>
        </w:tc>
      </w:tr>
      <w:tr w:rsidR="00255976" w:rsidTr="002D119C">
        <w:tc>
          <w:tcPr>
            <w:tcW w:w="4390" w:type="dxa"/>
          </w:tcPr>
          <w:p w:rsidR="00255976" w:rsidRPr="00E73313" w:rsidRDefault="00E73313" w:rsidP="002D119C">
            <w:pPr>
              <w:rPr>
                <w:sz w:val="20"/>
                <w:szCs w:val="20"/>
              </w:rPr>
            </w:pPr>
            <w:r w:rsidRPr="00E73313">
              <w:rPr>
                <w:sz w:val="20"/>
                <w:szCs w:val="20"/>
              </w:rPr>
              <w:t xml:space="preserve">Produced by Condé Nast, today GQ is a multi-platform brand. Each issue is published in </w:t>
            </w:r>
            <w:proofErr w:type="gramStart"/>
            <w:r w:rsidRPr="00E73313">
              <w:rPr>
                <w:sz w:val="20"/>
                <w:szCs w:val="20"/>
              </w:rPr>
              <w:t>print and on the iPad; it has its own acclaimed website, iPhone apps</w:t>
            </w:r>
            <w:proofErr w:type="gramEnd"/>
            <w:r w:rsidRPr="00E73313">
              <w:rPr>
                <w:sz w:val="20"/>
                <w:szCs w:val="20"/>
              </w:rPr>
              <w:t xml:space="preserve"> and an annual event called ‘GQ Men of the Year’.</w:t>
            </w:r>
          </w:p>
        </w:tc>
        <w:tc>
          <w:tcPr>
            <w:tcW w:w="6066" w:type="dxa"/>
          </w:tcPr>
          <w:p w:rsidR="00255976" w:rsidRDefault="00255976" w:rsidP="002D119C"/>
          <w:p w:rsidR="00255976" w:rsidRDefault="00255976" w:rsidP="002D119C"/>
          <w:p w:rsidR="00255976" w:rsidRDefault="00255976" w:rsidP="002D119C"/>
          <w:p w:rsidR="00255976" w:rsidRDefault="00255976" w:rsidP="002D119C"/>
          <w:p w:rsidR="00255976" w:rsidRDefault="00255976" w:rsidP="002D119C"/>
          <w:p w:rsidR="00235842" w:rsidRDefault="00235842" w:rsidP="002D119C"/>
        </w:tc>
      </w:tr>
      <w:tr w:rsidR="00255976" w:rsidTr="002D119C">
        <w:tc>
          <w:tcPr>
            <w:tcW w:w="4390" w:type="dxa"/>
          </w:tcPr>
          <w:p w:rsidR="00255976" w:rsidRPr="00E73313" w:rsidRDefault="00E73313" w:rsidP="002D119C">
            <w:pPr>
              <w:rPr>
                <w:sz w:val="20"/>
                <w:szCs w:val="20"/>
              </w:rPr>
            </w:pPr>
            <w:r w:rsidRPr="00E73313">
              <w:rPr>
                <w:sz w:val="20"/>
                <w:szCs w:val="20"/>
              </w:rPr>
              <w:t>GQ has an average circulation of around 115,000 and a readership of almost 400,000 through its various platforms.</w:t>
            </w:r>
          </w:p>
        </w:tc>
        <w:tc>
          <w:tcPr>
            <w:tcW w:w="6066" w:type="dxa"/>
          </w:tcPr>
          <w:p w:rsidR="00255976" w:rsidRDefault="00255976" w:rsidP="002D119C"/>
          <w:p w:rsidR="00255976" w:rsidRDefault="00255976" w:rsidP="002D119C"/>
          <w:p w:rsidR="00255976" w:rsidRDefault="00255976" w:rsidP="002D119C"/>
          <w:p w:rsidR="00255976" w:rsidRDefault="00255976" w:rsidP="002D119C"/>
          <w:p w:rsidR="00235842" w:rsidRDefault="00235842" w:rsidP="002D119C"/>
          <w:p w:rsidR="00255976" w:rsidRDefault="00255976" w:rsidP="002D119C"/>
        </w:tc>
      </w:tr>
      <w:tr w:rsidR="00255976" w:rsidTr="00E73313">
        <w:trPr>
          <w:trHeight w:val="494"/>
        </w:trPr>
        <w:tc>
          <w:tcPr>
            <w:tcW w:w="4390" w:type="dxa"/>
          </w:tcPr>
          <w:p w:rsidR="00255976" w:rsidRPr="00E73313" w:rsidRDefault="00E73313" w:rsidP="002D119C">
            <w:pPr>
              <w:rPr>
                <w:sz w:val="20"/>
                <w:szCs w:val="20"/>
              </w:rPr>
            </w:pPr>
            <w:r w:rsidRPr="00E73313">
              <w:rPr>
                <w:sz w:val="20"/>
                <w:szCs w:val="20"/>
              </w:rPr>
              <w:t xml:space="preserve">GQ’s catch phrase is ‘the magazine for men with an </w:t>
            </w:r>
            <w:proofErr w:type="gramStart"/>
            <w:r w:rsidRPr="00E73313">
              <w:rPr>
                <w:sz w:val="20"/>
                <w:szCs w:val="20"/>
              </w:rPr>
              <w:t>IQ,’.</w:t>
            </w:r>
            <w:proofErr w:type="gramEnd"/>
            <w:r w:rsidRPr="00E73313">
              <w:rPr>
                <w:sz w:val="20"/>
                <w:szCs w:val="20"/>
              </w:rPr>
              <w:t xml:space="preserve"> The brand </w:t>
            </w:r>
            <w:proofErr w:type="gramStart"/>
            <w:r w:rsidRPr="00E73313">
              <w:rPr>
                <w:sz w:val="20"/>
                <w:szCs w:val="20"/>
              </w:rPr>
              <w:t>is built</w:t>
            </w:r>
            <w:proofErr w:type="gramEnd"/>
            <w:r w:rsidRPr="00E73313">
              <w:rPr>
                <w:sz w:val="20"/>
                <w:szCs w:val="20"/>
              </w:rPr>
              <w:t xml:space="preserve"> around more traditional ideas of masculinity. It includes coverage of executive concerns and targets a more serious minded, conservative, older reader than some other men’s lifestyle magazines such as Loaded and FHM.</w:t>
            </w:r>
          </w:p>
        </w:tc>
        <w:tc>
          <w:tcPr>
            <w:tcW w:w="6066" w:type="dxa"/>
          </w:tcPr>
          <w:p w:rsidR="00F359E6" w:rsidRDefault="00F359E6" w:rsidP="002D119C"/>
          <w:p w:rsidR="00255976" w:rsidRDefault="00255976" w:rsidP="002D119C"/>
          <w:p w:rsidR="00255976" w:rsidRDefault="00255976" w:rsidP="002D119C"/>
          <w:p w:rsidR="00255976" w:rsidRDefault="00255976" w:rsidP="002D119C"/>
          <w:p w:rsidR="00F359E6" w:rsidRDefault="00F359E6" w:rsidP="002D119C"/>
          <w:p w:rsidR="00F359E6" w:rsidRDefault="00F359E6" w:rsidP="002D119C"/>
        </w:tc>
      </w:tr>
    </w:tbl>
    <w:p w:rsidR="00EF0FB2" w:rsidRPr="00EF0FB2" w:rsidRDefault="00EF0FB2" w:rsidP="00EF0FB2">
      <w:pPr>
        <w:rPr>
          <w:b/>
          <w:u w:val="single"/>
        </w:rPr>
      </w:pPr>
      <w:r>
        <w:rPr>
          <w:b/>
          <w:u w:val="single"/>
        </w:rPr>
        <w:t>Social and Cultural Context</w:t>
      </w:r>
      <w:r w:rsidR="00F359E6">
        <w:rPr>
          <w:b/>
          <w:u w:val="single"/>
        </w:rPr>
        <w:t xml:space="preserve">: </w:t>
      </w:r>
      <w:r w:rsidR="00F359E6" w:rsidRPr="00F359E6">
        <w:rPr>
          <w:i/>
          <w:sz w:val="16"/>
        </w:rPr>
        <w:t>Draw summative illustrations in the right side of the tables that relate to the contextual knowledge on the left.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EF0FB2" w:rsidTr="00EF0FB2">
        <w:tc>
          <w:tcPr>
            <w:tcW w:w="4390" w:type="dxa"/>
          </w:tcPr>
          <w:p w:rsidR="00EF0FB2" w:rsidRPr="00F359E6" w:rsidRDefault="005B5226">
            <w:pPr>
              <w:rPr>
                <w:sz w:val="20"/>
                <w:szCs w:val="20"/>
              </w:rPr>
            </w:pPr>
            <w:r>
              <w:t xml:space="preserve">In 1994, Mark Simpson an author and journalist coined the word ‘Metrosexual’ in an article for the Independent newspaper after he attended Britain’s first GQ style exhibition. He is famously quoted as </w:t>
            </w:r>
            <w:proofErr w:type="gramStart"/>
            <w:r>
              <w:t>saying</w:t>
            </w:r>
            <w:proofErr w:type="gramEnd"/>
            <w:r>
              <w:t xml:space="preserve"> “I had seen the future of masculinity and it was moisturised.”</w:t>
            </w:r>
          </w:p>
        </w:tc>
        <w:tc>
          <w:tcPr>
            <w:tcW w:w="6066" w:type="dxa"/>
          </w:tcPr>
          <w:p w:rsidR="00EF0FB2" w:rsidRDefault="00EF0FB2"/>
          <w:p w:rsidR="00EF0FB2" w:rsidRDefault="00EF0FB2"/>
          <w:p w:rsidR="00EF0FB2" w:rsidRDefault="00EF0FB2"/>
          <w:p w:rsidR="00EF0FB2" w:rsidRDefault="00EF0FB2"/>
          <w:p w:rsidR="00EF0FB2" w:rsidRDefault="00EF0FB2"/>
        </w:tc>
      </w:tr>
      <w:tr w:rsidR="00EF0FB2" w:rsidTr="00EF0FB2">
        <w:tc>
          <w:tcPr>
            <w:tcW w:w="4390" w:type="dxa"/>
          </w:tcPr>
          <w:p w:rsidR="00EF0FB2" w:rsidRPr="00F359E6" w:rsidRDefault="005B5226" w:rsidP="00F359E6">
            <w:pPr>
              <w:rPr>
                <w:sz w:val="20"/>
                <w:szCs w:val="20"/>
              </w:rPr>
            </w:pPr>
            <w:r>
              <w:t xml:space="preserve">This term gained global popularity in the early 2000s, epitomised by men like David Beckham, when it became more socially acceptable for men </w:t>
            </w:r>
            <w:proofErr w:type="gramStart"/>
            <w:r>
              <w:t>to openly care</w:t>
            </w:r>
            <w:proofErr w:type="gramEnd"/>
            <w:r>
              <w:t xml:space="preserve"> about their looks, clothing and skincare regime.</w:t>
            </w:r>
          </w:p>
        </w:tc>
        <w:tc>
          <w:tcPr>
            <w:tcW w:w="6066" w:type="dxa"/>
          </w:tcPr>
          <w:p w:rsidR="00EF0FB2" w:rsidRDefault="00EF0FB2"/>
          <w:p w:rsidR="00F359E6" w:rsidRDefault="00F359E6"/>
          <w:p w:rsidR="00F359E6" w:rsidRDefault="00F359E6"/>
          <w:p w:rsidR="00F359E6" w:rsidRDefault="00F359E6"/>
          <w:p w:rsidR="00EF0FB2" w:rsidRDefault="00EF0FB2"/>
          <w:p w:rsidR="005B5226" w:rsidRDefault="005B5226"/>
        </w:tc>
      </w:tr>
      <w:tr w:rsidR="00EF0FB2" w:rsidTr="00EF0FB2">
        <w:tc>
          <w:tcPr>
            <w:tcW w:w="4390" w:type="dxa"/>
          </w:tcPr>
          <w:p w:rsidR="00EF0FB2" w:rsidRPr="00F359E6" w:rsidRDefault="005B5226">
            <w:pPr>
              <w:rPr>
                <w:sz w:val="20"/>
                <w:szCs w:val="20"/>
              </w:rPr>
            </w:pPr>
            <w:r>
              <w:t>Men’s magazines embraced this through their content and advertising. Arguably, the primary role of such magazines is to encourage spending amongst its readers.</w:t>
            </w:r>
          </w:p>
        </w:tc>
        <w:tc>
          <w:tcPr>
            <w:tcW w:w="6066" w:type="dxa"/>
          </w:tcPr>
          <w:p w:rsidR="00EF0FB2" w:rsidRDefault="00EF0FB2"/>
          <w:p w:rsidR="00EF0FB2" w:rsidRDefault="00EF0FB2"/>
          <w:p w:rsidR="00EF0FB2" w:rsidRDefault="00EF0FB2"/>
          <w:p w:rsidR="00EF0FB2" w:rsidRDefault="00EF0FB2"/>
          <w:p w:rsidR="00EF0FB2" w:rsidRDefault="00EF0FB2"/>
          <w:p w:rsidR="005B5226" w:rsidRDefault="005B5226"/>
        </w:tc>
      </w:tr>
      <w:tr w:rsidR="00A27F9E" w:rsidTr="00EF0FB2">
        <w:tc>
          <w:tcPr>
            <w:tcW w:w="4390" w:type="dxa"/>
          </w:tcPr>
          <w:p w:rsidR="00A27F9E" w:rsidRPr="00F359E6" w:rsidRDefault="005B5226">
            <w:pPr>
              <w:rPr>
                <w:sz w:val="20"/>
                <w:szCs w:val="20"/>
              </w:rPr>
            </w:pPr>
            <w:r>
              <w:t>In 2014, Simpson then introduced the term ‘</w:t>
            </w:r>
            <w:proofErr w:type="spellStart"/>
            <w:r>
              <w:t>spornosexuals</w:t>
            </w:r>
            <w:proofErr w:type="spellEnd"/>
            <w:r>
              <w:t xml:space="preserve">’, men who are extremely </w:t>
            </w:r>
            <w:proofErr w:type="spellStart"/>
            <w:r>
              <w:t>bodyfocused</w:t>
            </w:r>
            <w:proofErr w:type="spellEnd"/>
            <w:r>
              <w:t>, who spend all their time at the gym and make their bodies their best accessory.</w:t>
            </w:r>
          </w:p>
        </w:tc>
        <w:tc>
          <w:tcPr>
            <w:tcW w:w="6066" w:type="dxa"/>
          </w:tcPr>
          <w:p w:rsidR="00A27F9E" w:rsidRDefault="00A27F9E"/>
          <w:p w:rsidR="00A27F9E" w:rsidRDefault="00A27F9E"/>
          <w:p w:rsidR="00A27F9E" w:rsidRDefault="00A27F9E"/>
          <w:p w:rsidR="00A27F9E" w:rsidRDefault="00A27F9E"/>
          <w:p w:rsidR="00A27F9E" w:rsidRDefault="00A27F9E"/>
          <w:p w:rsidR="005B5226" w:rsidRDefault="005B5226"/>
        </w:tc>
      </w:tr>
    </w:tbl>
    <w:p w:rsidR="00235842" w:rsidRDefault="00235842">
      <w:pPr>
        <w:rPr>
          <w:b/>
          <w:u w:val="single"/>
        </w:rPr>
      </w:pPr>
      <w:r w:rsidRPr="00F359E6">
        <w:rPr>
          <w:b/>
          <w:noProof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36CFC79E" wp14:editId="5C29C01A">
            <wp:simplePos x="0" y="0"/>
            <wp:positionH relativeFrom="margin">
              <wp:align>left</wp:align>
            </wp:positionH>
            <wp:positionV relativeFrom="margin">
              <wp:posOffset>-453365</wp:posOffset>
            </wp:positionV>
            <wp:extent cx="536575" cy="536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nity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FB2" w:rsidRPr="00EF0FB2" w:rsidRDefault="005B5226">
      <w:pPr>
        <w:rPr>
          <w:b/>
          <w:u w:val="single"/>
        </w:rPr>
      </w:pPr>
      <w:r w:rsidRPr="00F359E6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4ADCF7B3" wp14:editId="1A17791A">
            <wp:simplePos x="0" y="0"/>
            <wp:positionH relativeFrom="margin">
              <wp:align>left</wp:align>
            </wp:positionH>
            <wp:positionV relativeFrom="margin">
              <wp:posOffset>-532691</wp:posOffset>
            </wp:positionV>
            <wp:extent cx="536575" cy="536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nity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59E6">
        <w:rPr>
          <w:b/>
          <w:noProof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01C92309" wp14:editId="1C51C193">
            <wp:simplePos x="0" y="0"/>
            <wp:positionH relativeFrom="margin">
              <wp:align>right</wp:align>
            </wp:positionH>
            <wp:positionV relativeFrom="paragraph">
              <wp:posOffset>-454327</wp:posOffset>
            </wp:positionV>
            <wp:extent cx="902335" cy="4419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qas-logo-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FB2">
        <w:rPr>
          <w:b/>
          <w:u w:val="single"/>
        </w:rPr>
        <w:t>Historical and Political C</w:t>
      </w:r>
      <w:r w:rsidR="00F359E6">
        <w:rPr>
          <w:b/>
          <w:u w:val="single"/>
        </w:rPr>
        <w:t xml:space="preserve">ontext: </w:t>
      </w:r>
      <w:r w:rsidR="00F359E6" w:rsidRPr="00F359E6">
        <w:rPr>
          <w:i/>
          <w:sz w:val="16"/>
        </w:rPr>
        <w:t>Draw summative illustrations in the right side of the tables that relate to the contextual knowledge on the left.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EF0FB2" w:rsidTr="002D119C">
        <w:tc>
          <w:tcPr>
            <w:tcW w:w="4390" w:type="dxa"/>
          </w:tcPr>
          <w:p w:rsidR="00EF0FB2" w:rsidRDefault="00F86863" w:rsidP="002D119C">
            <w:r>
              <w:t>African Americans have had a long and complex history in the motion picture industry. At the start of the 20th century, many films depicted black characters that supported the dominant stereotype of the time: incompetent, hypersexualised and/or criminals.</w:t>
            </w:r>
          </w:p>
        </w:tc>
        <w:tc>
          <w:tcPr>
            <w:tcW w:w="6066" w:type="dxa"/>
          </w:tcPr>
          <w:p w:rsidR="00EF0FB2" w:rsidRDefault="00EF0FB2" w:rsidP="002D119C"/>
          <w:p w:rsidR="00EF0FB2" w:rsidRDefault="00EF0FB2" w:rsidP="002D119C"/>
          <w:p w:rsidR="00EF0FB2" w:rsidRDefault="00EF0FB2" w:rsidP="002D119C"/>
          <w:p w:rsidR="00EF0FB2" w:rsidRDefault="00EF0FB2" w:rsidP="002D119C"/>
          <w:p w:rsidR="00EF0FB2" w:rsidRDefault="00EF0FB2" w:rsidP="002D119C"/>
          <w:p w:rsidR="00EF0FB2" w:rsidRDefault="00EF0FB2" w:rsidP="002D119C"/>
        </w:tc>
      </w:tr>
      <w:tr w:rsidR="00EF0FB2" w:rsidTr="002D119C">
        <w:tc>
          <w:tcPr>
            <w:tcW w:w="4390" w:type="dxa"/>
          </w:tcPr>
          <w:p w:rsidR="00EF0FB2" w:rsidRDefault="00F86863" w:rsidP="002D119C">
            <w:r>
              <w:t>It wasn’t until the growing momentum of the Civil Rights Movement that there was a push against this status quo and there evidently there is still a way to go</w:t>
            </w:r>
          </w:p>
        </w:tc>
        <w:tc>
          <w:tcPr>
            <w:tcW w:w="6066" w:type="dxa"/>
          </w:tcPr>
          <w:p w:rsidR="00EF0FB2" w:rsidRDefault="00EF0FB2" w:rsidP="002D119C"/>
          <w:p w:rsidR="00EF0FB2" w:rsidRDefault="00EF0FB2" w:rsidP="002D119C"/>
          <w:p w:rsidR="00EF0FB2" w:rsidRDefault="00EF0FB2" w:rsidP="002D119C"/>
          <w:p w:rsidR="00EF0FB2" w:rsidRDefault="00EF0FB2" w:rsidP="002D119C"/>
          <w:p w:rsidR="00EF0FB2" w:rsidRDefault="00EF0FB2" w:rsidP="002D119C"/>
          <w:p w:rsidR="00EF0FB2" w:rsidRDefault="00EF0FB2" w:rsidP="002D119C"/>
        </w:tc>
      </w:tr>
      <w:tr w:rsidR="00EF0FB2" w:rsidTr="002D119C">
        <w:tc>
          <w:tcPr>
            <w:tcW w:w="4390" w:type="dxa"/>
          </w:tcPr>
          <w:p w:rsidR="00EF0FB2" w:rsidRDefault="00F86863" w:rsidP="002D119C">
            <w:r>
              <w:t>In 2015 April Reign, the Broadway Black managing editor, created the hashtag #</w:t>
            </w:r>
            <w:proofErr w:type="spellStart"/>
            <w:r>
              <w:t>OscarSoWhite</w:t>
            </w:r>
            <w:proofErr w:type="spellEnd"/>
            <w:r>
              <w:t xml:space="preserve"> to bring attention to the Academy’s tendency to overlook performances and achievements by </w:t>
            </w:r>
            <w:proofErr w:type="spellStart"/>
            <w:r>
              <w:t>nonwhite</w:t>
            </w:r>
            <w:proofErr w:type="spellEnd"/>
            <w:r>
              <w:t xml:space="preserve"> professionals. By 2016, little had changed and so many actors and actresses boycotted the 2016 Oscars, branding it ‘racist’ and ‘too white’</w:t>
            </w:r>
          </w:p>
        </w:tc>
        <w:tc>
          <w:tcPr>
            <w:tcW w:w="6066" w:type="dxa"/>
          </w:tcPr>
          <w:p w:rsidR="00EF0FB2" w:rsidRDefault="00EF0FB2" w:rsidP="002D119C"/>
          <w:p w:rsidR="00EF0FB2" w:rsidRDefault="00EF0FB2" w:rsidP="002D119C"/>
          <w:p w:rsidR="00EF0FB2" w:rsidRDefault="00EF0FB2" w:rsidP="002D119C"/>
          <w:p w:rsidR="00EF0FB2" w:rsidRDefault="00EF0FB2" w:rsidP="002D119C"/>
          <w:p w:rsidR="00EF0FB2" w:rsidRDefault="00EF0FB2" w:rsidP="002D119C"/>
          <w:p w:rsidR="00EF0FB2" w:rsidRDefault="00EF0FB2" w:rsidP="002D119C"/>
        </w:tc>
      </w:tr>
    </w:tbl>
    <w:p w:rsidR="00F359E6" w:rsidRPr="00F359E6" w:rsidRDefault="00F359E6" w:rsidP="00BD4070">
      <w:pPr>
        <w:spacing w:after="0"/>
        <w:rPr>
          <w:b/>
          <w:sz w:val="20"/>
          <w:u w:val="single"/>
        </w:rPr>
      </w:pPr>
    </w:p>
    <w:p w:rsidR="004D570D" w:rsidRPr="004D570D" w:rsidRDefault="004D570D" w:rsidP="00BD4070">
      <w:pPr>
        <w:spacing w:after="0"/>
        <w:rPr>
          <w:sz w:val="20"/>
        </w:rPr>
      </w:pPr>
      <w:r>
        <w:rPr>
          <w:sz w:val="20"/>
        </w:rPr>
        <w:t xml:space="preserve"> </w:t>
      </w:r>
    </w:p>
    <w:p w:rsidR="00A27F9E" w:rsidRDefault="00A27F9E"/>
    <w:sectPr w:rsidR="00A27F9E" w:rsidSect="00EF0FB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FB2" w:rsidRDefault="00EF0FB2" w:rsidP="00EF0FB2">
      <w:pPr>
        <w:spacing w:after="0" w:line="240" w:lineRule="auto"/>
      </w:pPr>
      <w:r>
        <w:separator/>
      </w:r>
    </w:p>
  </w:endnote>
  <w:endnote w:type="continuationSeparator" w:id="0">
    <w:p w:rsidR="00EF0FB2" w:rsidRDefault="00EF0FB2" w:rsidP="00EF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FB2" w:rsidRDefault="00EF0FB2" w:rsidP="00EF0FB2">
      <w:pPr>
        <w:spacing w:after="0" w:line="240" w:lineRule="auto"/>
      </w:pPr>
      <w:r>
        <w:separator/>
      </w:r>
    </w:p>
  </w:footnote>
  <w:footnote w:type="continuationSeparator" w:id="0">
    <w:p w:rsidR="00EF0FB2" w:rsidRDefault="00EF0FB2" w:rsidP="00EF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B2" w:rsidRDefault="00EF0FB2" w:rsidP="00EF0FB2">
    <w:pPr>
      <w:pStyle w:val="Header"/>
      <w:jc w:val="center"/>
    </w:pPr>
    <w:r>
      <w:t xml:space="preserve">Component 1a – </w:t>
    </w:r>
    <w:r w:rsidR="00E73313">
      <w:t>GQ</w:t>
    </w:r>
    <w:r>
      <w:t xml:space="preserve"> - Context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B2"/>
    <w:rsid w:val="00075ECF"/>
    <w:rsid w:val="00194A9C"/>
    <w:rsid w:val="00235842"/>
    <w:rsid w:val="00255976"/>
    <w:rsid w:val="00261C9D"/>
    <w:rsid w:val="003D5351"/>
    <w:rsid w:val="004D570D"/>
    <w:rsid w:val="005B5226"/>
    <w:rsid w:val="007E695A"/>
    <w:rsid w:val="00845E4B"/>
    <w:rsid w:val="009F0B3D"/>
    <w:rsid w:val="00A27F9E"/>
    <w:rsid w:val="00BD4070"/>
    <w:rsid w:val="00D2091F"/>
    <w:rsid w:val="00E73313"/>
    <w:rsid w:val="00EF0FB2"/>
    <w:rsid w:val="00F359E6"/>
    <w:rsid w:val="00F8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408A"/>
  <w15:chartTrackingRefBased/>
  <w15:docId w15:val="{2A17A188-B838-46A2-B129-33DC8528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FB2"/>
  </w:style>
  <w:style w:type="paragraph" w:styleId="Footer">
    <w:name w:val="footer"/>
    <w:basedOn w:val="Normal"/>
    <w:link w:val="FooterChar"/>
    <w:uiPriority w:val="99"/>
    <w:unhideWhenUsed/>
    <w:rsid w:val="00EF0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B2"/>
  </w:style>
  <w:style w:type="table" w:styleId="TableGrid">
    <w:name w:val="Table Grid"/>
    <w:basedOn w:val="TableNormal"/>
    <w:uiPriority w:val="39"/>
    <w:rsid w:val="00EF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4</cp:revision>
  <dcterms:created xsi:type="dcterms:W3CDTF">2019-07-10T08:38:00Z</dcterms:created>
  <dcterms:modified xsi:type="dcterms:W3CDTF">2019-07-10T08:40:00Z</dcterms:modified>
</cp:coreProperties>
</file>