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A5" w:rsidRPr="00D41B4F" w:rsidRDefault="001D02A5" w:rsidP="001D02A5">
      <w:pPr>
        <w:jc w:val="center"/>
        <w:rPr>
          <w:b/>
          <w:u w:val="single"/>
        </w:rPr>
      </w:pPr>
      <w:r>
        <w:rPr>
          <w:b/>
          <w:u w:val="single"/>
        </w:rPr>
        <w:t>Industry</w:t>
      </w:r>
      <w:r w:rsidRPr="00D41B4F">
        <w:rPr>
          <w:b/>
          <w:u w:val="single"/>
        </w:rPr>
        <w:t xml:space="preserve"> Theory</w:t>
      </w:r>
    </w:p>
    <w:p w:rsidR="001D02A5" w:rsidRPr="00D41B4F" w:rsidRDefault="001D02A5" w:rsidP="001D02A5">
      <w:pPr>
        <w:jc w:val="center"/>
        <w:rPr>
          <w:b/>
          <w:u w:val="single"/>
        </w:rPr>
      </w:pPr>
      <w:r w:rsidRPr="00D41B4F">
        <w:rPr>
          <w:b/>
          <w:u w:val="single"/>
        </w:rPr>
        <w:t>Apply to LFTD</w:t>
      </w:r>
    </w:p>
    <w:p w:rsidR="001D02A5" w:rsidRDefault="001D02A5" w:rsidP="001D02A5">
      <w:pPr>
        <w:rPr>
          <w:b/>
          <w:lang w:val="en-US"/>
        </w:rPr>
      </w:pPr>
    </w:p>
    <w:p w:rsidR="001D02A5" w:rsidRPr="00F928CF" w:rsidRDefault="001D02A5" w:rsidP="001D02A5">
      <w:pPr>
        <w:rPr>
          <w:b/>
          <w:lang w:val="en-US"/>
        </w:rPr>
      </w:pPr>
      <w:r w:rsidRPr="00F928CF">
        <w:rPr>
          <w:b/>
          <w:lang w:val="en-US"/>
        </w:rPr>
        <w:t>For each academic idea or quotation:</w:t>
      </w:r>
    </w:p>
    <w:p w:rsidR="001D02A5" w:rsidRPr="00F928CF" w:rsidRDefault="001D02A5" w:rsidP="001D02A5">
      <w:pPr>
        <w:numPr>
          <w:ilvl w:val="0"/>
          <w:numId w:val="2"/>
        </w:numPr>
        <w:spacing w:after="120" w:line="276" w:lineRule="auto"/>
        <w:ind w:left="567" w:hanging="720"/>
        <w:rPr>
          <w:lang w:val="en-US"/>
        </w:rPr>
      </w:pPr>
      <w:r w:rsidRPr="00F928CF">
        <w:rPr>
          <w:lang w:val="en-US"/>
        </w:rPr>
        <w:t>In column 2 of the worksheet, list the textual examples from the episode that you can apply the academic idea to in the set product. This might include examples from:</w:t>
      </w:r>
    </w:p>
    <w:p w:rsidR="001D02A5" w:rsidRPr="00F928CF" w:rsidRDefault="001D02A5" w:rsidP="001D02A5">
      <w:pPr>
        <w:pStyle w:val="bullets"/>
        <w:rPr>
          <w:lang w:val="en-US"/>
        </w:rPr>
      </w:pPr>
      <w:r w:rsidRPr="00F928CF">
        <w:rPr>
          <w:lang w:val="en-US"/>
        </w:rPr>
        <w:t>camerawork</w:t>
      </w:r>
    </w:p>
    <w:p w:rsidR="001D02A5" w:rsidRPr="00F928CF" w:rsidRDefault="001D02A5" w:rsidP="001D02A5">
      <w:pPr>
        <w:pStyle w:val="bullets"/>
        <w:rPr>
          <w:lang w:val="en-US"/>
        </w:rPr>
      </w:pPr>
      <w:r w:rsidRPr="00F928CF">
        <w:rPr>
          <w:lang w:val="en-US"/>
        </w:rPr>
        <w:t>editing</w:t>
      </w:r>
    </w:p>
    <w:p w:rsidR="001D02A5" w:rsidRPr="00F928CF" w:rsidRDefault="001D02A5" w:rsidP="001D02A5">
      <w:pPr>
        <w:pStyle w:val="bullets"/>
        <w:rPr>
          <w:lang w:val="en-US"/>
        </w:rPr>
      </w:pPr>
      <w:r w:rsidRPr="00F928CF">
        <w:rPr>
          <w:lang w:val="en-US"/>
        </w:rPr>
        <w:t>sound</w:t>
      </w:r>
    </w:p>
    <w:p w:rsidR="001D02A5" w:rsidRPr="00F928CF" w:rsidRDefault="001D02A5" w:rsidP="001D02A5">
      <w:pPr>
        <w:pStyle w:val="bullets"/>
        <w:rPr>
          <w:lang w:val="en-US"/>
        </w:rPr>
      </w:pPr>
      <w:proofErr w:type="spellStart"/>
      <w:r w:rsidRPr="00F928CF">
        <w:rPr>
          <w:lang w:val="en-US"/>
        </w:rPr>
        <w:t>mise</w:t>
      </w:r>
      <w:proofErr w:type="spellEnd"/>
      <w:r w:rsidRPr="00F928CF">
        <w:rPr>
          <w:lang w:val="en-US"/>
        </w:rPr>
        <w:t>-</w:t>
      </w:r>
      <w:proofErr w:type="spellStart"/>
      <w:r w:rsidRPr="00F928CF">
        <w:rPr>
          <w:lang w:val="en-US"/>
        </w:rPr>
        <w:t>en</w:t>
      </w:r>
      <w:proofErr w:type="spellEnd"/>
      <w:r w:rsidRPr="00F928CF">
        <w:rPr>
          <w:lang w:val="en-US"/>
        </w:rPr>
        <w:t>-scène</w:t>
      </w:r>
    </w:p>
    <w:p w:rsidR="001D02A5" w:rsidRPr="00F928CF" w:rsidRDefault="001D02A5" w:rsidP="001D02A5">
      <w:pPr>
        <w:pStyle w:val="bullets"/>
        <w:rPr>
          <w:lang w:val="en-US"/>
        </w:rPr>
      </w:pPr>
      <w:r w:rsidRPr="00F928CF">
        <w:rPr>
          <w:lang w:val="en-US"/>
        </w:rPr>
        <w:t>characters</w:t>
      </w:r>
    </w:p>
    <w:p w:rsidR="001D02A5" w:rsidRPr="00F928CF" w:rsidRDefault="001D02A5" w:rsidP="001D02A5">
      <w:pPr>
        <w:pStyle w:val="bullets"/>
        <w:rPr>
          <w:lang w:val="en-US"/>
        </w:rPr>
      </w:pPr>
      <w:r w:rsidRPr="00F928CF">
        <w:rPr>
          <w:lang w:val="en-US"/>
        </w:rPr>
        <w:t>narrative</w:t>
      </w:r>
    </w:p>
    <w:p w:rsidR="001D02A5" w:rsidRPr="00F928CF" w:rsidRDefault="001D02A5" w:rsidP="001D02A5">
      <w:pPr>
        <w:pStyle w:val="bullets"/>
        <w:rPr>
          <w:lang w:val="en-US"/>
        </w:rPr>
      </w:pPr>
      <w:r w:rsidRPr="00F928CF">
        <w:rPr>
          <w:lang w:val="en-US"/>
        </w:rPr>
        <w:t>storyline</w:t>
      </w:r>
    </w:p>
    <w:p w:rsidR="001D02A5" w:rsidRDefault="001D02A5" w:rsidP="001D02A5">
      <w:pPr>
        <w:pStyle w:val="bullets"/>
        <w:spacing w:after="240"/>
        <w:rPr>
          <w:lang w:val="en-US"/>
        </w:rPr>
      </w:pPr>
      <w:r w:rsidRPr="00F928CF">
        <w:rPr>
          <w:lang w:val="en-US"/>
        </w:rPr>
        <w:t>representations of events, issues, people, places.</w:t>
      </w:r>
    </w:p>
    <w:p w:rsidR="001D02A5" w:rsidRPr="00F928CF" w:rsidRDefault="001D02A5" w:rsidP="001D02A5">
      <w:pPr>
        <w:pStyle w:val="bullets"/>
        <w:numPr>
          <w:ilvl w:val="0"/>
          <w:numId w:val="0"/>
        </w:numPr>
        <w:spacing w:after="240"/>
        <w:ind w:left="1134"/>
        <w:rPr>
          <w:lang w:val="en-US"/>
        </w:rPr>
      </w:pPr>
    </w:p>
    <w:p w:rsidR="001D02A5" w:rsidRPr="00F928CF" w:rsidRDefault="001D02A5" w:rsidP="001D02A5">
      <w:pPr>
        <w:numPr>
          <w:ilvl w:val="0"/>
          <w:numId w:val="2"/>
        </w:numPr>
        <w:spacing w:after="120" w:line="276" w:lineRule="auto"/>
        <w:ind w:left="567" w:hanging="567"/>
        <w:rPr>
          <w:lang w:val="en-US"/>
        </w:rPr>
      </w:pPr>
      <w:r w:rsidRPr="00F928CF">
        <w:rPr>
          <w:lang w:val="en-US"/>
        </w:rPr>
        <w:t>In column 3, write down the meaning offered as a result of applying the academic idea to the case study product.</w:t>
      </w:r>
    </w:p>
    <w:p w:rsidR="001D02A5" w:rsidRPr="00F928CF" w:rsidRDefault="001D02A5" w:rsidP="001D02A5">
      <w:pPr>
        <w:pStyle w:val="bullets"/>
        <w:rPr>
          <w:lang w:val="en-US"/>
        </w:rPr>
      </w:pPr>
      <w:r w:rsidRPr="00F928CF">
        <w:rPr>
          <w:lang w:val="en-US"/>
        </w:rPr>
        <w:t>What does the theory help us to understand about the product?</w:t>
      </w:r>
    </w:p>
    <w:p w:rsidR="001D02A5" w:rsidRPr="00F928CF" w:rsidRDefault="001D02A5" w:rsidP="001D02A5">
      <w:pPr>
        <w:pStyle w:val="bullets"/>
        <w:rPr>
          <w:lang w:val="en-US"/>
        </w:rPr>
      </w:pPr>
      <w:r w:rsidRPr="00F928CF">
        <w:rPr>
          <w:lang w:val="en-US"/>
        </w:rPr>
        <w:t>What does the product help us to understand about the theory?</w:t>
      </w:r>
    </w:p>
    <w:p w:rsidR="001D02A5" w:rsidRPr="00F928CF" w:rsidRDefault="001D02A5" w:rsidP="001D02A5">
      <w:pPr>
        <w:pStyle w:val="bullets"/>
        <w:rPr>
          <w:lang w:val="en-US"/>
        </w:rPr>
      </w:pPr>
      <w:r w:rsidRPr="00F928CF">
        <w:rPr>
          <w:lang w:val="en-US"/>
        </w:rPr>
        <w:t>how can the examples in the product help to ‘support’ the theory?</w:t>
      </w:r>
    </w:p>
    <w:p w:rsidR="001D02A5" w:rsidRDefault="001D02A5" w:rsidP="001D02A5">
      <w:pPr>
        <w:pStyle w:val="bullets"/>
        <w:rPr>
          <w:lang w:val="en-US"/>
        </w:rPr>
      </w:pPr>
      <w:r w:rsidRPr="00F928CF">
        <w:rPr>
          <w:lang w:val="en-US"/>
        </w:rPr>
        <w:t>How can the examples in the product ‘challenge’ and question the theory?</w:t>
      </w:r>
    </w:p>
    <w:p w:rsidR="001D02A5" w:rsidRDefault="001D02A5" w:rsidP="001D02A5">
      <w:pPr>
        <w:pStyle w:val="bullets"/>
        <w:numPr>
          <w:ilvl w:val="0"/>
          <w:numId w:val="0"/>
        </w:numPr>
        <w:ind w:left="567"/>
        <w:rPr>
          <w:lang w:val="en-US"/>
        </w:rPr>
      </w:pPr>
    </w:p>
    <w:p w:rsidR="001D02A5" w:rsidRDefault="001D02A5" w:rsidP="001D02A5">
      <w:pPr>
        <w:pStyle w:val="bullets"/>
        <w:numPr>
          <w:ilvl w:val="0"/>
          <w:numId w:val="0"/>
        </w:numPr>
        <w:ind w:left="1134" w:hanging="567"/>
        <w:rPr>
          <w:lang w:val="en-US"/>
        </w:rPr>
      </w:pPr>
      <w:proofErr w:type="spellStart"/>
      <w:r>
        <w:rPr>
          <w:lang w:val="en-US"/>
        </w:rPr>
        <w:t>Summarise</w:t>
      </w:r>
      <w:proofErr w:type="spellEnd"/>
      <w:r>
        <w:rPr>
          <w:lang w:val="en-US"/>
        </w:rPr>
        <w:t xml:space="preserve"> each theory in a simple and creative, but memorable phrase or sentence:</w:t>
      </w:r>
    </w:p>
    <w:p w:rsidR="001D02A5" w:rsidRPr="00F928CF" w:rsidRDefault="001D02A5" w:rsidP="001D02A5">
      <w:pPr>
        <w:pStyle w:val="bullets"/>
        <w:numPr>
          <w:ilvl w:val="0"/>
          <w:numId w:val="0"/>
        </w:numPr>
        <w:ind w:left="1134" w:hanging="567"/>
        <w:rPr>
          <w:lang w:val="en-US"/>
        </w:rPr>
      </w:pPr>
    </w:p>
    <w:tbl>
      <w:tblPr>
        <w:tblStyle w:val="TableGrid"/>
        <w:tblW w:w="0" w:type="auto"/>
        <w:tblLook w:val="04A0" w:firstRow="1" w:lastRow="0" w:firstColumn="1" w:lastColumn="0" w:noHBand="0" w:noVBand="1"/>
      </w:tblPr>
      <w:tblGrid>
        <w:gridCol w:w="10456"/>
      </w:tblGrid>
      <w:tr w:rsidR="001D02A5" w:rsidTr="00597494">
        <w:tc>
          <w:tcPr>
            <w:tcW w:w="10456" w:type="dxa"/>
          </w:tcPr>
          <w:p w:rsidR="001D02A5" w:rsidRDefault="001D02A5" w:rsidP="00597494">
            <w:pPr>
              <w:rPr>
                <w:b/>
                <w:sz w:val="16"/>
              </w:rPr>
            </w:pPr>
            <w:proofErr w:type="spellStart"/>
            <w:r w:rsidRPr="001D02A5">
              <w:rPr>
                <w:b/>
                <w:sz w:val="16"/>
              </w:rPr>
              <w:t>Hesmondhalgh</w:t>
            </w:r>
            <w:proofErr w:type="spellEnd"/>
            <w:r w:rsidRPr="001D02A5">
              <w:rPr>
                <w:b/>
                <w:sz w:val="16"/>
              </w:rPr>
              <w:t xml:space="preserve"> </w:t>
            </w:r>
            <w:r>
              <w:rPr>
                <w:b/>
                <w:sz w:val="16"/>
              </w:rPr>
              <w:t>Cultural Industry Theory</w:t>
            </w:r>
          </w:p>
          <w:p w:rsidR="001D02A5" w:rsidRPr="00E6625A" w:rsidRDefault="001D02A5" w:rsidP="00597494">
            <w:pPr>
              <w:rPr>
                <w:b/>
                <w:sz w:val="16"/>
              </w:rPr>
            </w:pPr>
          </w:p>
          <w:p w:rsidR="001D02A5" w:rsidRPr="00E6625A" w:rsidRDefault="001D02A5" w:rsidP="00597494">
            <w:pPr>
              <w:rPr>
                <w:b/>
                <w:sz w:val="16"/>
              </w:rPr>
            </w:pPr>
          </w:p>
        </w:tc>
      </w:tr>
      <w:tr w:rsidR="001D02A5" w:rsidTr="00597494">
        <w:tc>
          <w:tcPr>
            <w:tcW w:w="10456" w:type="dxa"/>
          </w:tcPr>
          <w:p w:rsidR="001D02A5" w:rsidRPr="00E6625A" w:rsidRDefault="001D02A5" w:rsidP="00597494">
            <w:pPr>
              <w:rPr>
                <w:b/>
                <w:sz w:val="16"/>
              </w:rPr>
            </w:pPr>
            <w:r>
              <w:rPr>
                <w:b/>
                <w:sz w:val="16"/>
              </w:rPr>
              <w:t xml:space="preserve">Livingstone &amp; </w:t>
            </w:r>
            <w:proofErr w:type="gramStart"/>
            <w:r>
              <w:rPr>
                <w:b/>
                <w:sz w:val="16"/>
              </w:rPr>
              <w:t xml:space="preserve">Lunt </w:t>
            </w:r>
            <w:r w:rsidRPr="001D02A5">
              <w:rPr>
                <w:b/>
                <w:sz w:val="16"/>
              </w:rPr>
              <w:t xml:space="preserve"> Regulation</w:t>
            </w:r>
            <w:proofErr w:type="gramEnd"/>
            <w:r w:rsidRPr="001D02A5">
              <w:rPr>
                <w:b/>
                <w:sz w:val="16"/>
              </w:rPr>
              <w:t xml:space="preserve"> </w:t>
            </w:r>
            <w:r>
              <w:rPr>
                <w:b/>
                <w:sz w:val="16"/>
              </w:rPr>
              <w:t>Theory</w:t>
            </w:r>
          </w:p>
          <w:p w:rsidR="001D02A5" w:rsidRDefault="001D02A5" w:rsidP="00597494">
            <w:pPr>
              <w:rPr>
                <w:b/>
                <w:sz w:val="16"/>
              </w:rPr>
            </w:pPr>
          </w:p>
          <w:p w:rsidR="00DB5E02" w:rsidRPr="00E6625A" w:rsidRDefault="00DB5E02" w:rsidP="00597494">
            <w:pPr>
              <w:rPr>
                <w:b/>
                <w:sz w:val="16"/>
              </w:rPr>
            </w:pPr>
          </w:p>
        </w:tc>
      </w:tr>
      <w:tr w:rsidR="001D02A5" w:rsidTr="00597494">
        <w:tc>
          <w:tcPr>
            <w:tcW w:w="10456" w:type="dxa"/>
          </w:tcPr>
          <w:p w:rsidR="001D02A5" w:rsidRDefault="00DB5E02" w:rsidP="00597494">
            <w:pPr>
              <w:rPr>
                <w:b/>
                <w:sz w:val="16"/>
              </w:rPr>
            </w:pPr>
            <w:r>
              <w:rPr>
                <w:b/>
                <w:sz w:val="16"/>
              </w:rPr>
              <w:t xml:space="preserve">Curran &amp; Seaton </w:t>
            </w:r>
            <w:r w:rsidRPr="00DB5E02">
              <w:rPr>
                <w:b/>
                <w:sz w:val="16"/>
              </w:rPr>
              <w:t xml:space="preserve">Power and Media Industries </w:t>
            </w:r>
            <w:r>
              <w:rPr>
                <w:b/>
                <w:sz w:val="16"/>
              </w:rPr>
              <w:t>Theory</w:t>
            </w:r>
          </w:p>
          <w:p w:rsidR="00DB5E02" w:rsidRDefault="00DB5E02" w:rsidP="00597494">
            <w:pPr>
              <w:rPr>
                <w:b/>
                <w:sz w:val="16"/>
              </w:rPr>
            </w:pPr>
          </w:p>
          <w:p w:rsidR="00DB5E02" w:rsidRPr="00E6625A" w:rsidRDefault="00DB5E02" w:rsidP="00597494">
            <w:pPr>
              <w:rPr>
                <w:b/>
                <w:sz w:val="16"/>
              </w:rPr>
            </w:pPr>
          </w:p>
        </w:tc>
      </w:tr>
    </w:tbl>
    <w:p w:rsidR="00DD5F2D" w:rsidRDefault="00DD5F2D"/>
    <w:p w:rsidR="00DD5F2D" w:rsidRDefault="00DD5F2D">
      <w:r>
        <w:br w:type="page"/>
      </w:r>
    </w:p>
    <w:tbl>
      <w:tblPr>
        <w:tblStyle w:val="TableGrid10"/>
        <w:tblW w:w="0" w:type="auto"/>
        <w:tblBorders>
          <w:top w:val="single" w:sz="4" w:space="0" w:color="2C6350"/>
          <w:left w:val="single" w:sz="4" w:space="0" w:color="2C6350"/>
          <w:bottom w:val="single" w:sz="4" w:space="0" w:color="2C6350"/>
          <w:right w:val="single" w:sz="4" w:space="0" w:color="2C6350"/>
          <w:insideH w:val="single" w:sz="4" w:space="0" w:color="2C6350"/>
          <w:insideV w:val="single" w:sz="4" w:space="0" w:color="2C6350"/>
        </w:tblBorders>
        <w:tblLook w:val="04A0" w:firstRow="1" w:lastRow="0" w:firstColumn="1" w:lastColumn="0" w:noHBand="0" w:noVBand="1"/>
      </w:tblPr>
      <w:tblGrid>
        <w:gridCol w:w="2406"/>
        <w:gridCol w:w="3329"/>
        <w:gridCol w:w="3893"/>
      </w:tblGrid>
      <w:tr w:rsidR="00DD5F2D" w:rsidRPr="00F928CF" w:rsidTr="00425443">
        <w:trPr>
          <w:tblHeader/>
        </w:trPr>
        <w:tc>
          <w:tcPr>
            <w:tcW w:w="2406"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lastRenderedPageBreak/>
              <w:t>Set product</w:t>
            </w:r>
          </w:p>
        </w:tc>
        <w:tc>
          <w:tcPr>
            <w:tcW w:w="3329"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Examples from episode 1 of the set product the idea can be applied to</w:t>
            </w:r>
          </w:p>
        </w:tc>
        <w:tc>
          <w:tcPr>
            <w:tcW w:w="3893"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What meaning can the idea and examples offer – what does it tell us?</w:t>
            </w:r>
          </w:p>
        </w:tc>
      </w:tr>
      <w:tr w:rsidR="00DD5F2D" w:rsidRPr="00F928CF" w:rsidTr="00425443">
        <w:trPr>
          <w:trHeight w:val="551"/>
          <w:tblHeader/>
        </w:trPr>
        <w:tc>
          <w:tcPr>
            <w:tcW w:w="9628" w:type="dxa"/>
            <w:gridSpan w:val="3"/>
            <w:shd w:val="clear" w:color="auto" w:fill="auto"/>
          </w:tcPr>
          <w:p w:rsidR="00DD5F2D" w:rsidRPr="00F928CF" w:rsidRDefault="00DD5F2D" w:rsidP="00DD5F2D">
            <w:pPr>
              <w:pStyle w:val="Tabletext"/>
              <w:rPr>
                <w:rFonts w:cs="Arial"/>
                <w:color w:val="FF6600"/>
              </w:rPr>
            </w:pPr>
            <w:r w:rsidRPr="00F928CF">
              <w:rPr>
                <w:rFonts w:cs="Arial"/>
              </w:rPr>
              <w:t>Risk is high in the cultural industries because of the difficulty in predicting success, high production costs and the fact that media products are ‘public goods’…industries rely on ‘big hits’ to cover the costs of failure and rely on repetition of stars, genres, franchises, repeatable narratives and so on to sell formats to audiences. Industries and governments try to impose laws to make these only producible by industry</w:t>
            </w:r>
            <w:r w:rsidRPr="00F73E63">
              <w:rPr>
                <w:rFonts w:cs="Arial"/>
                <w:b/>
              </w:rPr>
              <w:t>. (</w:t>
            </w:r>
            <w:proofErr w:type="spellStart"/>
            <w:r w:rsidRPr="00F73E63">
              <w:rPr>
                <w:rFonts w:cs="Arial"/>
                <w:b/>
              </w:rPr>
              <w:t>Hesmondhalgh</w:t>
            </w:r>
            <w:proofErr w:type="spellEnd"/>
            <w:r w:rsidRPr="00F73E63">
              <w:rPr>
                <w:rFonts w:cs="Arial"/>
                <w:b/>
              </w:rPr>
              <w:t xml:space="preserve">) – </w:t>
            </w:r>
            <w:r>
              <w:rPr>
                <w:rFonts w:cs="Arial"/>
                <w:b/>
                <w:i/>
              </w:rPr>
              <w:t>Cultural Industry Theory</w:t>
            </w:r>
          </w:p>
        </w:tc>
      </w:tr>
      <w:tr w:rsidR="00DD5F2D" w:rsidRPr="00F928CF" w:rsidTr="00425443">
        <w:trPr>
          <w:tblHeader/>
        </w:trPr>
        <w:tc>
          <w:tcPr>
            <w:tcW w:w="2406" w:type="dxa"/>
          </w:tcPr>
          <w:p w:rsidR="00DD5F2D" w:rsidRPr="00F928CF" w:rsidRDefault="00DD5F2D" w:rsidP="00425443">
            <w:pPr>
              <w:pStyle w:val="Tabletext"/>
              <w:rPr>
                <w:rFonts w:cs="Arial"/>
                <w:b/>
              </w:rPr>
            </w:pPr>
            <w:r w:rsidRPr="00F928CF">
              <w:rPr>
                <w:rFonts w:cs="Arial"/>
                <w:b/>
              </w:rPr>
              <w:t>Set product 1</w:t>
            </w:r>
          </w:p>
        </w:tc>
        <w:tc>
          <w:tcPr>
            <w:tcW w:w="3329" w:type="dxa"/>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Pr>
          <w:p w:rsidR="00DD5F2D" w:rsidRPr="00F928CF" w:rsidRDefault="00DD5F2D" w:rsidP="00425443">
            <w:pPr>
              <w:pStyle w:val="Tabletext"/>
              <w:rPr>
                <w:rFonts w:cs="Arial"/>
              </w:rPr>
            </w:pPr>
          </w:p>
        </w:tc>
      </w:tr>
      <w:tr w:rsidR="00DD5F2D" w:rsidRPr="00F928CF" w:rsidTr="00425443">
        <w:trPr>
          <w:tblHeader/>
        </w:trPr>
        <w:tc>
          <w:tcPr>
            <w:tcW w:w="2406" w:type="dxa"/>
            <w:tcBorders>
              <w:bottom w:val="single" w:sz="4" w:space="0" w:color="2C6350"/>
            </w:tcBorders>
          </w:tcPr>
          <w:p w:rsidR="00DD5F2D" w:rsidRPr="00F928CF" w:rsidRDefault="00DD5F2D" w:rsidP="00425443">
            <w:pPr>
              <w:pStyle w:val="Tabletext"/>
              <w:rPr>
                <w:rFonts w:cs="Arial"/>
                <w:b/>
              </w:rPr>
            </w:pPr>
            <w:r w:rsidRPr="00F928CF">
              <w:rPr>
                <w:rFonts w:cs="Arial"/>
                <w:b/>
              </w:rPr>
              <w:t>Set product 2</w:t>
            </w:r>
          </w:p>
        </w:tc>
        <w:tc>
          <w:tcPr>
            <w:tcW w:w="3329" w:type="dxa"/>
            <w:tcBorders>
              <w:bottom w:val="single" w:sz="4" w:space="0" w:color="2C6350"/>
            </w:tcBorders>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Borders>
              <w:bottom w:val="single" w:sz="4" w:space="0" w:color="2C6350"/>
            </w:tcBorders>
          </w:tcPr>
          <w:p w:rsidR="00DD5F2D" w:rsidRPr="00F928CF" w:rsidRDefault="00DD5F2D" w:rsidP="00425443">
            <w:pPr>
              <w:pStyle w:val="Tabletext"/>
              <w:rPr>
                <w:rFonts w:cs="Arial"/>
              </w:rPr>
            </w:pPr>
          </w:p>
        </w:tc>
      </w:tr>
    </w:tbl>
    <w:p w:rsidR="00DD5F2D" w:rsidRDefault="00DD5F2D"/>
    <w:tbl>
      <w:tblPr>
        <w:tblStyle w:val="TableGrid10"/>
        <w:tblW w:w="0" w:type="auto"/>
        <w:tblBorders>
          <w:top w:val="single" w:sz="4" w:space="0" w:color="2C6350"/>
          <w:left w:val="single" w:sz="4" w:space="0" w:color="2C6350"/>
          <w:bottom w:val="single" w:sz="4" w:space="0" w:color="2C6350"/>
          <w:right w:val="single" w:sz="4" w:space="0" w:color="2C6350"/>
          <w:insideH w:val="single" w:sz="4" w:space="0" w:color="2C6350"/>
          <w:insideV w:val="single" w:sz="4" w:space="0" w:color="2C6350"/>
        </w:tblBorders>
        <w:tblLook w:val="04A0" w:firstRow="1" w:lastRow="0" w:firstColumn="1" w:lastColumn="0" w:noHBand="0" w:noVBand="1"/>
      </w:tblPr>
      <w:tblGrid>
        <w:gridCol w:w="2406"/>
        <w:gridCol w:w="3329"/>
        <w:gridCol w:w="3893"/>
      </w:tblGrid>
      <w:tr w:rsidR="00DD5F2D" w:rsidRPr="00F928CF" w:rsidTr="00425443">
        <w:trPr>
          <w:tblHeader/>
        </w:trPr>
        <w:tc>
          <w:tcPr>
            <w:tcW w:w="2406"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lastRenderedPageBreak/>
              <w:t>Set product</w:t>
            </w:r>
          </w:p>
        </w:tc>
        <w:tc>
          <w:tcPr>
            <w:tcW w:w="3329"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Examples from episode 1 of the set product the idea can be applied to</w:t>
            </w:r>
          </w:p>
        </w:tc>
        <w:tc>
          <w:tcPr>
            <w:tcW w:w="3893"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What meaning can the idea and examples offer – what does it tell us?</w:t>
            </w:r>
          </w:p>
        </w:tc>
      </w:tr>
      <w:tr w:rsidR="00DD5F2D" w:rsidRPr="00F928CF" w:rsidTr="00425443">
        <w:trPr>
          <w:trHeight w:val="551"/>
          <w:tblHeader/>
        </w:trPr>
        <w:tc>
          <w:tcPr>
            <w:tcW w:w="9628" w:type="dxa"/>
            <w:gridSpan w:val="3"/>
            <w:shd w:val="clear" w:color="auto" w:fill="auto"/>
          </w:tcPr>
          <w:p w:rsidR="00440AF3" w:rsidRPr="00440AF3" w:rsidRDefault="00440AF3" w:rsidP="00DD5F2D">
            <w:pPr>
              <w:pStyle w:val="Tabletext"/>
              <w:rPr>
                <w:rFonts w:cs="Arial"/>
                <w:lang w:val="en-GB"/>
              </w:rPr>
            </w:pPr>
            <w:bookmarkStart w:id="0" w:name="_GoBack"/>
            <w:r w:rsidRPr="00440AF3">
              <w:rPr>
                <w:rFonts w:cs="Arial"/>
              </w:rPr>
              <w:t>Media regulation is necessary to protect consumers and make sure media industries act in the public interest, however this is being undermined by the development of a global online media culture.</w:t>
            </w:r>
          </w:p>
          <w:bookmarkEnd w:id="0"/>
          <w:p w:rsidR="00DD5F2D" w:rsidRPr="00F928CF" w:rsidRDefault="00DD5F2D" w:rsidP="00DD5F2D">
            <w:pPr>
              <w:pStyle w:val="Tabletext"/>
              <w:rPr>
                <w:rFonts w:cs="Arial"/>
                <w:color w:val="FF6600"/>
              </w:rPr>
            </w:pPr>
            <w:r w:rsidRPr="00F73E63">
              <w:rPr>
                <w:rFonts w:cs="Arial"/>
                <w:b/>
              </w:rPr>
              <w:t xml:space="preserve"> (</w:t>
            </w:r>
            <w:r>
              <w:rPr>
                <w:rFonts w:cs="Arial"/>
                <w:b/>
              </w:rPr>
              <w:t>Livingstone &amp; Lunt</w:t>
            </w:r>
            <w:r w:rsidRPr="00F73E63">
              <w:rPr>
                <w:rFonts w:cs="Arial"/>
                <w:b/>
              </w:rPr>
              <w:t xml:space="preserve">) – </w:t>
            </w:r>
            <w:r>
              <w:rPr>
                <w:rFonts w:cs="Arial"/>
                <w:b/>
                <w:i/>
              </w:rPr>
              <w:t>Regulation</w:t>
            </w:r>
          </w:p>
        </w:tc>
      </w:tr>
      <w:tr w:rsidR="00DD5F2D" w:rsidRPr="00F928CF" w:rsidTr="00425443">
        <w:trPr>
          <w:tblHeader/>
        </w:trPr>
        <w:tc>
          <w:tcPr>
            <w:tcW w:w="2406" w:type="dxa"/>
          </w:tcPr>
          <w:p w:rsidR="00DD5F2D" w:rsidRPr="00F928CF" w:rsidRDefault="00DD5F2D" w:rsidP="00425443">
            <w:pPr>
              <w:pStyle w:val="Tabletext"/>
              <w:rPr>
                <w:rFonts w:cs="Arial"/>
                <w:b/>
              </w:rPr>
            </w:pPr>
            <w:r w:rsidRPr="00F928CF">
              <w:rPr>
                <w:rFonts w:cs="Arial"/>
                <w:b/>
              </w:rPr>
              <w:t>Set product 1</w:t>
            </w:r>
          </w:p>
        </w:tc>
        <w:tc>
          <w:tcPr>
            <w:tcW w:w="3329" w:type="dxa"/>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Pr>
          <w:p w:rsidR="00DD5F2D" w:rsidRPr="00F928CF" w:rsidRDefault="00DD5F2D" w:rsidP="00425443">
            <w:pPr>
              <w:pStyle w:val="Tabletext"/>
              <w:rPr>
                <w:rFonts w:cs="Arial"/>
              </w:rPr>
            </w:pPr>
          </w:p>
        </w:tc>
      </w:tr>
      <w:tr w:rsidR="00DD5F2D" w:rsidRPr="00F928CF" w:rsidTr="00425443">
        <w:trPr>
          <w:tblHeader/>
        </w:trPr>
        <w:tc>
          <w:tcPr>
            <w:tcW w:w="2406" w:type="dxa"/>
            <w:tcBorders>
              <w:bottom w:val="single" w:sz="4" w:space="0" w:color="2C6350"/>
            </w:tcBorders>
          </w:tcPr>
          <w:p w:rsidR="00DD5F2D" w:rsidRPr="00F928CF" w:rsidRDefault="00DD5F2D" w:rsidP="00425443">
            <w:pPr>
              <w:pStyle w:val="Tabletext"/>
              <w:rPr>
                <w:rFonts w:cs="Arial"/>
                <w:b/>
              </w:rPr>
            </w:pPr>
            <w:r w:rsidRPr="00F928CF">
              <w:rPr>
                <w:rFonts w:cs="Arial"/>
                <w:b/>
              </w:rPr>
              <w:t>Set product 2</w:t>
            </w:r>
          </w:p>
        </w:tc>
        <w:tc>
          <w:tcPr>
            <w:tcW w:w="3329" w:type="dxa"/>
            <w:tcBorders>
              <w:bottom w:val="single" w:sz="4" w:space="0" w:color="2C6350"/>
            </w:tcBorders>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Borders>
              <w:bottom w:val="single" w:sz="4" w:space="0" w:color="2C6350"/>
            </w:tcBorders>
          </w:tcPr>
          <w:p w:rsidR="00DD5F2D" w:rsidRPr="00F928CF" w:rsidRDefault="00DD5F2D" w:rsidP="00425443">
            <w:pPr>
              <w:pStyle w:val="Tabletext"/>
              <w:rPr>
                <w:rFonts w:cs="Arial"/>
              </w:rPr>
            </w:pPr>
          </w:p>
        </w:tc>
      </w:tr>
    </w:tbl>
    <w:p w:rsidR="00DD5F2D" w:rsidRDefault="00DD5F2D">
      <w:r>
        <w:br w:type="page"/>
      </w:r>
    </w:p>
    <w:tbl>
      <w:tblPr>
        <w:tblStyle w:val="TableGrid10"/>
        <w:tblW w:w="0" w:type="auto"/>
        <w:tblBorders>
          <w:top w:val="single" w:sz="4" w:space="0" w:color="2C6350"/>
          <w:left w:val="single" w:sz="4" w:space="0" w:color="2C6350"/>
          <w:bottom w:val="single" w:sz="4" w:space="0" w:color="2C6350"/>
          <w:right w:val="single" w:sz="4" w:space="0" w:color="2C6350"/>
          <w:insideH w:val="single" w:sz="4" w:space="0" w:color="2C6350"/>
          <w:insideV w:val="single" w:sz="4" w:space="0" w:color="2C6350"/>
        </w:tblBorders>
        <w:tblLook w:val="04A0" w:firstRow="1" w:lastRow="0" w:firstColumn="1" w:lastColumn="0" w:noHBand="0" w:noVBand="1"/>
      </w:tblPr>
      <w:tblGrid>
        <w:gridCol w:w="2406"/>
        <w:gridCol w:w="3329"/>
        <w:gridCol w:w="3893"/>
      </w:tblGrid>
      <w:tr w:rsidR="00DD5F2D" w:rsidRPr="00F928CF" w:rsidTr="00425443">
        <w:trPr>
          <w:tblHeader/>
        </w:trPr>
        <w:tc>
          <w:tcPr>
            <w:tcW w:w="2406"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lastRenderedPageBreak/>
              <w:t>Set product</w:t>
            </w:r>
          </w:p>
        </w:tc>
        <w:tc>
          <w:tcPr>
            <w:tcW w:w="3329"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Examples from episode 1 of the set product the idea can be applied to</w:t>
            </w:r>
          </w:p>
        </w:tc>
        <w:tc>
          <w:tcPr>
            <w:tcW w:w="3893" w:type="dxa"/>
            <w:tcBorders>
              <w:bottom w:val="single" w:sz="4" w:space="0" w:color="2C6350"/>
            </w:tcBorders>
            <w:shd w:val="clear" w:color="auto" w:fill="D4ECE3"/>
            <w:vAlign w:val="center"/>
          </w:tcPr>
          <w:p w:rsidR="00DD5F2D" w:rsidRPr="00F928CF" w:rsidRDefault="00DD5F2D" w:rsidP="00425443">
            <w:pPr>
              <w:pStyle w:val="Tabletext"/>
              <w:rPr>
                <w:rFonts w:cs="Arial"/>
                <w:b/>
              </w:rPr>
            </w:pPr>
            <w:r w:rsidRPr="00F928CF">
              <w:rPr>
                <w:rFonts w:cs="Arial"/>
                <w:b/>
              </w:rPr>
              <w:t>What meaning can the idea and examples offer – what does it tell us?</w:t>
            </w:r>
          </w:p>
        </w:tc>
      </w:tr>
      <w:tr w:rsidR="00DD5F2D" w:rsidRPr="00F928CF" w:rsidTr="00425443">
        <w:trPr>
          <w:trHeight w:val="551"/>
          <w:tblHeader/>
        </w:trPr>
        <w:tc>
          <w:tcPr>
            <w:tcW w:w="9628" w:type="dxa"/>
            <w:gridSpan w:val="3"/>
            <w:shd w:val="clear" w:color="auto" w:fill="auto"/>
          </w:tcPr>
          <w:p w:rsidR="00440AF3" w:rsidRPr="00440AF3" w:rsidRDefault="00440AF3" w:rsidP="00440AF3">
            <w:pPr>
              <w:pStyle w:val="Tabletext"/>
              <w:rPr>
                <w:rFonts w:cs="Arial"/>
              </w:rPr>
            </w:pPr>
            <w:r w:rsidRPr="00440AF3">
              <w:rPr>
                <w:rFonts w:cs="Arial"/>
              </w:rPr>
              <w:t>The concentration of media ownership means the media industry is dominated by a</w:t>
            </w:r>
            <w:r>
              <w:rPr>
                <w:rFonts w:cs="Arial"/>
              </w:rPr>
              <w:t xml:space="preserve"> small number of conglomerates. </w:t>
            </w:r>
            <w:r w:rsidRPr="00440AF3">
              <w:rPr>
                <w:rFonts w:cs="Arial"/>
              </w:rPr>
              <w:t>Less competition mean</w:t>
            </w:r>
            <w:r>
              <w:rPr>
                <w:rFonts w:cs="Arial"/>
              </w:rPr>
              <w:t>s</w:t>
            </w:r>
            <w:r w:rsidRPr="00440AF3">
              <w:rPr>
                <w:rFonts w:cs="Arial"/>
              </w:rPr>
              <w:t xml:space="preserve"> less diversity of products, vie</w:t>
            </w:r>
            <w:r>
              <w:rPr>
                <w:rFonts w:cs="Arial"/>
              </w:rPr>
              <w:t>wpoints and spread of revenue. T</w:t>
            </w:r>
            <w:r w:rsidRPr="00440AF3">
              <w:rPr>
                <w:rFonts w:cs="Arial"/>
              </w:rPr>
              <w:t xml:space="preserve">he </w:t>
            </w:r>
            <w:proofErr w:type="spellStart"/>
            <w:r>
              <w:rPr>
                <w:rFonts w:cs="Arial"/>
              </w:rPr>
              <w:t>companies</w:t>
            </w:r>
            <w:proofErr w:type="spellEnd"/>
            <w:r w:rsidRPr="00440AF3">
              <w:rPr>
                <w:rFonts w:cs="Arial"/>
              </w:rPr>
              <w:t xml:space="preserve"> focus on profit and power –</w:t>
            </w:r>
            <w:r>
              <w:rPr>
                <w:rFonts w:cs="Arial"/>
              </w:rPr>
              <w:t xml:space="preserve"> not creativity and innovation. </w:t>
            </w:r>
            <w:r w:rsidRPr="00440AF3">
              <w:rPr>
                <w:rFonts w:eastAsiaTheme="minorHAnsi" w:cs="Arial"/>
                <w:lang w:val="en-GB"/>
              </w:rPr>
              <w:t xml:space="preserve">Despite the development of online </w:t>
            </w:r>
            <w:proofErr w:type="gramStart"/>
            <w:r w:rsidRPr="00440AF3">
              <w:rPr>
                <w:rFonts w:eastAsiaTheme="minorHAnsi" w:cs="Arial"/>
                <w:lang w:val="en-GB"/>
              </w:rPr>
              <w:t>media</w:t>
            </w:r>
            <w:proofErr w:type="gramEnd"/>
            <w:r w:rsidRPr="00440AF3">
              <w:rPr>
                <w:rFonts w:eastAsiaTheme="minorHAnsi" w:cs="Arial"/>
                <w:lang w:val="en-GB"/>
              </w:rPr>
              <w:t xml:space="preserve"> the established major media organisations continue to be dominant.</w:t>
            </w:r>
          </w:p>
          <w:p w:rsidR="00DD5F2D" w:rsidRPr="00F928CF" w:rsidRDefault="00DD5F2D" w:rsidP="001D02A5">
            <w:pPr>
              <w:pStyle w:val="Tabletext"/>
              <w:rPr>
                <w:rFonts w:cs="Arial"/>
                <w:color w:val="FF6600"/>
              </w:rPr>
            </w:pPr>
            <w:r w:rsidRPr="00F73E63">
              <w:rPr>
                <w:rFonts w:cs="Arial"/>
                <w:b/>
              </w:rPr>
              <w:t xml:space="preserve"> (</w:t>
            </w:r>
            <w:r w:rsidR="001D02A5">
              <w:rPr>
                <w:rFonts w:cs="Arial"/>
                <w:b/>
              </w:rPr>
              <w:t>Curran &amp; Seaton</w:t>
            </w:r>
            <w:r w:rsidRPr="00F73E63">
              <w:rPr>
                <w:rFonts w:cs="Arial"/>
                <w:b/>
              </w:rPr>
              <w:t xml:space="preserve">) – </w:t>
            </w:r>
            <w:r>
              <w:rPr>
                <w:rFonts w:cs="Arial"/>
                <w:b/>
                <w:i/>
              </w:rPr>
              <w:t>Power and Media Industries</w:t>
            </w:r>
          </w:p>
        </w:tc>
      </w:tr>
      <w:tr w:rsidR="00DD5F2D" w:rsidRPr="00F928CF" w:rsidTr="00425443">
        <w:trPr>
          <w:tblHeader/>
        </w:trPr>
        <w:tc>
          <w:tcPr>
            <w:tcW w:w="2406" w:type="dxa"/>
          </w:tcPr>
          <w:p w:rsidR="00DD5F2D" w:rsidRPr="00F928CF" w:rsidRDefault="00DD5F2D" w:rsidP="00425443">
            <w:pPr>
              <w:pStyle w:val="Tabletext"/>
              <w:rPr>
                <w:rFonts w:cs="Arial"/>
                <w:b/>
              </w:rPr>
            </w:pPr>
            <w:r w:rsidRPr="00F928CF">
              <w:rPr>
                <w:rFonts w:cs="Arial"/>
                <w:b/>
              </w:rPr>
              <w:t>Set product 1</w:t>
            </w:r>
          </w:p>
        </w:tc>
        <w:tc>
          <w:tcPr>
            <w:tcW w:w="3329" w:type="dxa"/>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Pr>
          <w:p w:rsidR="00DD5F2D" w:rsidRPr="00F928CF" w:rsidRDefault="00DD5F2D" w:rsidP="00425443">
            <w:pPr>
              <w:pStyle w:val="Tabletext"/>
              <w:rPr>
                <w:rFonts w:cs="Arial"/>
              </w:rPr>
            </w:pPr>
          </w:p>
        </w:tc>
      </w:tr>
      <w:tr w:rsidR="00DD5F2D" w:rsidRPr="00F928CF" w:rsidTr="00425443">
        <w:trPr>
          <w:tblHeader/>
        </w:trPr>
        <w:tc>
          <w:tcPr>
            <w:tcW w:w="2406" w:type="dxa"/>
            <w:tcBorders>
              <w:bottom w:val="single" w:sz="4" w:space="0" w:color="2C6350"/>
            </w:tcBorders>
          </w:tcPr>
          <w:p w:rsidR="00DD5F2D" w:rsidRPr="00F928CF" w:rsidRDefault="00DD5F2D" w:rsidP="00425443">
            <w:pPr>
              <w:pStyle w:val="Tabletext"/>
              <w:rPr>
                <w:rFonts w:cs="Arial"/>
                <w:b/>
              </w:rPr>
            </w:pPr>
            <w:r w:rsidRPr="00F928CF">
              <w:rPr>
                <w:rFonts w:cs="Arial"/>
                <w:b/>
              </w:rPr>
              <w:t>Set product 2</w:t>
            </w:r>
          </w:p>
        </w:tc>
        <w:tc>
          <w:tcPr>
            <w:tcW w:w="3329" w:type="dxa"/>
            <w:tcBorders>
              <w:bottom w:val="single" w:sz="4" w:space="0" w:color="2C6350"/>
            </w:tcBorders>
          </w:tcPr>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p w:rsidR="00DD5F2D" w:rsidRPr="00F928CF" w:rsidRDefault="00DD5F2D" w:rsidP="00425443">
            <w:pPr>
              <w:pStyle w:val="Tabletext"/>
              <w:rPr>
                <w:rFonts w:cs="Arial"/>
              </w:rPr>
            </w:pPr>
          </w:p>
        </w:tc>
        <w:tc>
          <w:tcPr>
            <w:tcW w:w="3893" w:type="dxa"/>
            <w:tcBorders>
              <w:bottom w:val="single" w:sz="4" w:space="0" w:color="2C6350"/>
            </w:tcBorders>
          </w:tcPr>
          <w:p w:rsidR="00DD5F2D" w:rsidRPr="00F928CF" w:rsidRDefault="00DD5F2D" w:rsidP="00425443">
            <w:pPr>
              <w:pStyle w:val="Tabletext"/>
              <w:rPr>
                <w:rFonts w:cs="Arial"/>
              </w:rPr>
            </w:pPr>
          </w:p>
        </w:tc>
      </w:tr>
    </w:tbl>
    <w:p w:rsidR="00C41AFE" w:rsidRDefault="00C41AFE"/>
    <w:sectPr w:rsidR="00C41AFE" w:rsidSect="00DD5F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261F8"/>
    <w:multiLevelType w:val="hybridMultilevel"/>
    <w:tmpl w:val="46DE4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A7393"/>
    <w:multiLevelType w:val="hybridMultilevel"/>
    <w:tmpl w:val="2918062A"/>
    <w:lvl w:ilvl="0" w:tplc="B8E0DB8C">
      <w:start w:val="1"/>
      <w:numFmt w:val="bullet"/>
      <w:pStyle w:val="ListParagraph"/>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1D02A5"/>
    <w:rsid w:val="00440AF3"/>
    <w:rsid w:val="0053173F"/>
    <w:rsid w:val="00C41AFE"/>
    <w:rsid w:val="00DB5E02"/>
    <w:rsid w:val="00DD5F2D"/>
    <w:rsid w:val="00F02425"/>
    <w:rsid w:val="00F0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C1DA"/>
  <w15:chartTrackingRefBased/>
  <w15:docId w15:val="{257C768A-E726-4C99-A390-3668FF30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DD5F2D"/>
    <w:pPr>
      <w:spacing w:before="40" w:after="40" w:line="276" w:lineRule="auto"/>
    </w:pPr>
    <w:rPr>
      <w:rFonts w:ascii="Arial" w:eastAsia="Calibri" w:hAnsi="Arial" w:cs="Times New Roman"/>
    </w:rPr>
  </w:style>
  <w:style w:type="table" w:customStyle="1" w:styleId="TableGrid10">
    <w:name w:val="Table Grid10"/>
    <w:basedOn w:val="TableNormal"/>
    <w:next w:val="TableGrid"/>
    <w:uiPriority w:val="59"/>
    <w:rsid w:val="00DD5F2D"/>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2A5"/>
    <w:pPr>
      <w:numPr>
        <w:numId w:val="1"/>
      </w:numPr>
      <w:contextualSpacing/>
    </w:pPr>
    <w:rPr>
      <w:rFonts w:ascii="Calibri" w:eastAsia="Calibri" w:hAnsi="Calibri" w:cs="Times New Roman"/>
    </w:rPr>
  </w:style>
  <w:style w:type="paragraph" w:customStyle="1" w:styleId="bullets">
    <w:name w:val="bullets"/>
    <w:basedOn w:val="ListParagraph"/>
    <w:qFormat/>
    <w:rsid w:val="001D02A5"/>
    <w:pPr>
      <w:spacing w:after="120" w:line="276" w:lineRule="auto"/>
      <w:ind w:left="1134" w:hanging="567"/>
      <w:contextualSpacing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70858">
      <w:bodyDiv w:val="1"/>
      <w:marLeft w:val="0"/>
      <w:marRight w:val="0"/>
      <w:marTop w:val="0"/>
      <w:marBottom w:val="0"/>
      <w:divBdr>
        <w:top w:val="none" w:sz="0" w:space="0" w:color="auto"/>
        <w:left w:val="none" w:sz="0" w:space="0" w:color="auto"/>
        <w:bottom w:val="none" w:sz="0" w:space="0" w:color="auto"/>
        <w:right w:val="none" w:sz="0" w:space="0" w:color="auto"/>
      </w:divBdr>
      <w:divsChild>
        <w:div w:id="793211623">
          <w:marLeft w:val="360"/>
          <w:marRight w:val="0"/>
          <w:marTop w:val="200"/>
          <w:marBottom w:val="0"/>
          <w:divBdr>
            <w:top w:val="none" w:sz="0" w:space="0" w:color="auto"/>
            <w:left w:val="none" w:sz="0" w:space="0" w:color="auto"/>
            <w:bottom w:val="none" w:sz="0" w:space="0" w:color="auto"/>
            <w:right w:val="none" w:sz="0" w:space="0" w:color="auto"/>
          </w:divBdr>
        </w:div>
        <w:div w:id="800879377">
          <w:marLeft w:val="360"/>
          <w:marRight w:val="0"/>
          <w:marTop w:val="200"/>
          <w:marBottom w:val="0"/>
          <w:divBdr>
            <w:top w:val="none" w:sz="0" w:space="0" w:color="auto"/>
            <w:left w:val="none" w:sz="0" w:space="0" w:color="auto"/>
            <w:bottom w:val="none" w:sz="0" w:space="0" w:color="auto"/>
            <w:right w:val="none" w:sz="0" w:space="0" w:color="auto"/>
          </w:divBdr>
        </w:div>
        <w:div w:id="1926375326">
          <w:marLeft w:val="360"/>
          <w:marRight w:val="0"/>
          <w:marTop w:val="200"/>
          <w:marBottom w:val="0"/>
          <w:divBdr>
            <w:top w:val="none" w:sz="0" w:space="0" w:color="auto"/>
            <w:left w:val="none" w:sz="0" w:space="0" w:color="auto"/>
            <w:bottom w:val="none" w:sz="0" w:space="0" w:color="auto"/>
            <w:right w:val="none" w:sz="0" w:space="0" w:color="auto"/>
          </w:divBdr>
        </w:div>
        <w:div w:id="1898466980">
          <w:marLeft w:val="360"/>
          <w:marRight w:val="0"/>
          <w:marTop w:val="200"/>
          <w:marBottom w:val="0"/>
          <w:divBdr>
            <w:top w:val="none" w:sz="0" w:space="0" w:color="auto"/>
            <w:left w:val="none" w:sz="0" w:space="0" w:color="auto"/>
            <w:bottom w:val="none" w:sz="0" w:space="0" w:color="auto"/>
            <w:right w:val="none" w:sz="0" w:space="0" w:color="auto"/>
          </w:divBdr>
        </w:div>
        <w:div w:id="353195475">
          <w:marLeft w:val="360"/>
          <w:marRight w:val="0"/>
          <w:marTop w:val="200"/>
          <w:marBottom w:val="0"/>
          <w:divBdr>
            <w:top w:val="none" w:sz="0" w:space="0" w:color="auto"/>
            <w:left w:val="none" w:sz="0" w:space="0" w:color="auto"/>
            <w:bottom w:val="none" w:sz="0" w:space="0" w:color="auto"/>
            <w:right w:val="none" w:sz="0" w:space="0" w:color="auto"/>
          </w:divBdr>
        </w:div>
      </w:divsChild>
    </w:div>
    <w:div w:id="18626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Prior</dc:creator>
  <cp:keywords/>
  <dc:description/>
  <cp:lastModifiedBy>Thomas Prior</cp:lastModifiedBy>
  <cp:revision>6</cp:revision>
  <dcterms:created xsi:type="dcterms:W3CDTF">2019-03-06T07:27:00Z</dcterms:created>
  <dcterms:modified xsi:type="dcterms:W3CDTF">2019-03-25T09:38:00Z</dcterms:modified>
</cp:coreProperties>
</file>